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9CC1" w14:textId="367BA4EC" w:rsidR="00B46561" w:rsidRPr="00304840" w:rsidRDefault="00B46561" w:rsidP="00C115FA">
      <w:pPr>
        <w:pStyle w:val="Titre1"/>
        <w:spacing w:before="0" w:line="276" w:lineRule="auto"/>
        <w:ind w:left="1416" w:firstLine="708"/>
        <w:contextualSpacing/>
        <w:rPr>
          <w:b/>
          <w:color w:val="auto"/>
          <w:sz w:val="24"/>
          <w:szCs w:val="24"/>
        </w:rPr>
      </w:pPr>
      <w:bookmarkStart w:id="0" w:name="_Toc90568761"/>
      <w:r w:rsidRPr="00304840">
        <w:rPr>
          <w:b/>
          <w:color w:val="auto"/>
          <w:sz w:val="24"/>
          <w:szCs w:val="24"/>
        </w:rPr>
        <w:t>MODÈLE DE CODE DE CIVILITÉ EN MILIEU DE TRAVAIL</w:t>
      </w:r>
      <w:bookmarkEnd w:id="0"/>
    </w:p>
    <w:p w14:paraId="198171F4" w14:textId="77777777" w:rsidR="00B46561" w:rsidRDefault="00B46561" w:rsidP="00B46561">
      <w:pPr>
        <w:spacing w:after="0" w:line="276" w:lineRule="auto"/>
        <w:ind w:left="-567" w:right="-568"/>
        <w:contextualSpacing/>
        <w:jc w:val="both"/>
        <w:rPr>
          <w:rFonts w:eastAsiaTheme="minorEastAsia"/>
          <w:color w:val="333333"/>
          <w:sz w:val="20"/>
        </w:rPr>
      </w:pPr>
    </w:p>
    <w:p w14:paraId="15FD6F51" w14:textId="7421232D" w:rsidR="00B46561" w:rsidRPr="00BA50A4" w:rsidRDefault="00B46561" w:rsidP="00B46561">
      <w:pPr>
        <w:spacing w:after="0" w:line="276" w:lineRule="auto"/>
        <w:ind w:left="-567" w:right="-568"/>
        <w:contextualSpacing/>
        <w:jc w:val="both"/>
        <w:rPr>
          <w:rFonts w:eastAsiaTheme="minorEastAsia"/>
          <w:color w:val="333333"/>
        </w:rPr>
      </w:pPr>
      <w:r w:rsidRPr="00BA50A4">
        <w:rPr>
          <w:rFonts w:eastAsiaTheme="minorEastAsia"/>
          <w:color w:val="333333"/>
        </w:rPr>
        <w:t xml:space="preserve">Le code de civilité du </w:t>
      </w:r>
      <w:r w:rsidR="006A38E6" w:rsidRPr="00BA50A4">
        <w:rPr>
          <w:rFonts w:eastAsiaTheme="minorEastAsia"/>
          <w:color w:val="333333"/>
        </w:rPr>
        <w:t xml:space="preserve">CPE/BC </w:t>
      </w:r>
      <w:r w:rsidRPr="00BA50A4">
        <w:rPr>
          <w:rFonts w:eastAsiaTheme="minorEastAsia"/>
          <w:color w:val="333333"/>
        </w:rPr>
        <w:t xml:space="preserve">est une référence pour orienter les relations dans notre milieu de travail. Il énonce les attitudes et comportements associés au savoir-être encouragés et attendus pour maintenir un milieu de travail respectueux, harmonieux et efficace. </w:t>
      </w:r>
    </w:p>
    <w:p w14:paraId="36A42974" w14:textId="3400D4E4" w:rsidR="00B46561" w:rsidRPr="00BA50A4" w:rsidRDefault="00B46561" w:rsidP="00B46561">
      <w:pPr>
        <w:spacing w:after="0" w:line="276" w:lineRule="auto"/>
        <w:ind w:left="-567" w:right="-568"/>
        <w:contextualSpacing/>
        <w:jc w:val="both"/>
        <w:rPr>
          <w:rFonts w:eastAsiaTheme="minorEastAsia"/>
          <w:color w:val="333333"/>
        </w:rPr>
      </w:pPr>
      <w:r w:rsidRPr="00BA50A4">
        <w:rPr>
          <w:rFonts w:eastAsiaTheme="minorEastAsia"/>
          <w:color w:val="333333"/>
        </w:rPr>
        <w:t xml:space="preserve">Toutes les employées, parents, familles, membres du conseil d’administration et collaborateurs s’engagent à respecter ce code dans leurs interactions reliées aux activités internes et externes au </w:t>
      </w:r>
      <w:r w:rsidR="00BA50A4">
        <w:rPr>
          <w:rFonts w:eastAsiaTheme="minorEastAsia"/>
          <w:color w:val="333333"/>
        </w:rPr>
        <w:t xml:space="preserve">CPE/BC </w:t>
      </w:r>
      <w:r w:rsidRPr="00BA50A4">
        <w:rPr>
          <w:rFonts w:eastAsiaTheme="minorEastAsia"/>
          <w:color w:val="333333"/>
        </w:rPr>
        <w:t>et à le promouvoir quotidiennement. Au CPE-BC, nous valorisons le respect, la politesse, la courtoisie, la collaboration et la bienveillance dans nos relations avec autrui.</w:t>
      </w:r>
    </w:p>
    <w:p w14:paraId="52D7155D" w14:textId="77777777" w:rsidR="00B46561" w:rsidRPr="00901316" w:rsidRDefault="00B46561" w:rsidP="00B46561">
      <w:pPr>
        <w:spacing w:after="0"/>
        <w:contextualSpacing/>
        <w:rPr>
          <w:rFonts w:eastAsiaTheme="minorEastAsia"/>
          <w:b/>
          <w:color w:val="333333"/>
          <w:sz w:val="20"/>
        </w:rPr>
      </w:pPr>
    </w:p>
    <w:p w14:paraId="205B82E7" w14:textId="0EEC63C3" w:rsidR="00B46561" w:rsidRPr="00901316" w:rsidRDefault="00B46561" w:rsidP="00B46561">
      <w:pPr>
        <w:pStyle w:val="Paragraphedeliste"/>
        <w:spacing w:after="0"/>
        <w:ind w:left="360"/>
        <w:rPr>
          <w:rFonts w:eastAsiaTheme="minorEastAsia"/>
          <w:color w:val="333333"/>
          <w:sz w:val="10"/>
        </w:rPr>
      </w:pPr>
    </w:p>
    <w:tbl>
      <w:tblPr>
        <w:tblStyle w:val="Grilledutableau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6"/>
        <w:gridCol w:w="5244"/>
      </w:tblGrid>
      <w:tr w:rsidR="00B46561" w14:paraId="5A702ED2" w14:textId="77777777" w:rsidTr="00304840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71B9A3E4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b/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>AGIR AVEC RESPECT AU CPE, C’EST…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D16912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71B8D27E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b/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AGIR AVEC RESPECT AU CPE, C’EST ÉVITER…</w:t>
            </w:r>
          </w:p>
        </w:tc>
      </w:tr>
      <w:tr w:rsidR="00B46561" w14:paraId="23AC7A0C" w14:textId="77777777" w:rsidTr="00A467CE">
        <w:trPr>
          <w:trHeight w:val="1176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2A8" w14:textId="77777777" w:rsidR="00B46561" w:rsidRPr="00901316" w:rsidRDefault="00B46561" w:rsidP="00B46561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Faire preuve de professionnalisme, de courtoisie et de politesse </w:t>
            </w:r>
          </w:p>
          <w:p w14:paraId="385B3DE1" w14:textId="77777777" w:rsidR="00B46561" w:rsidRPr="00901316" w:rsidRDefault="00B46561" w:rsidP="00B46561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Respecter les opinions des autres </w:t>
            </w:r>
          </w:p>
          <w:p w14:paraId="1F61B915" w14:textId="77777777" w:rsidR="00B46561" w:rsidRPr="00901316" w:rsidRDefault="00B46561" w:rsidP="00B46561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Respecter ses collaborateurs  </w:t>
            </w:r>
          </w:p>
          <w:p w14:paraId="03061407" w14:textId="77777777" w:rsidR="00B46561" w:rsidRPr="00901316" w:rsidRDefault="00B46561" w:rsidP="00B46561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21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Considérer le travail des autres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3B0944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C70" w14:textId="77777777" w:rsidR="00B46561" w:rsidRPr="00901316" w:rsidRDefault="00B46561" w:rsidP="00B4656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23"/>
              <w:rPr>
                <w:rFonts w:eastAsia="Times New Roman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/>
                <w:sz w:val="18"/>
                <w:szCs w:val="20"/>
                <w:lang w:eastAsia="fr-CA"/>
              </w:rPr>
              <w:t>De répandre, alimenter ou colporter des rumeurs ou fausses informations à l’égard des autres</w:t>
            </w:r>
          </w:p>
          <w:p w14:paraId="091E7127" w14:textId="77777777" w:rsidR="00B46561" w:rsidRPr="00901316" w:rsidRDefault="00B46561" w:rsidP="00B4656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23"/>
              <w:rPr>
                <w:rFonts w:eastAsia="Times New Roman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/>
                <w:sz w:val="18"/>
                <w:szCs w:val="20"/>
                <w:lang w:eastAsia="fr-CA"/>
              </w:rPr>
              <w:t>De poser des jugements à l’égard des autres ou de leur travail</w:t>
            </w:r>
          </w:p>
          <w:p w14:paraId="6FE79E30" w14:textId="77777777" w:rsidR="00B46561" w:rsidRPr="00901316" w:rsidRDefault="00B46561" w:rsidP="00B4656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23"/>
              <w:rPr>
                <w:rFonts w:eastAsia="Times New Roman"/>
                <w:sz w:val="20"/>
                <w:szCs w:val="20"/>
                <w:lang w:eastAsia="fr-CA"/>
              </w:rPr>
            </w:pPr>
            <w:r w:rsidRPr="00901316">
              <w:rPr>
                <w:rFonts w:eastAsia="Times New Roman"/>
                <w:sz w:val="18"/>
                <w:szCs w:val="20"/>
                <w:lang w:eastAsia="fr-CA"/>
              </w:rPr>
              <w:t>De s’attribuer la réalisation du travail d’un autre</w:t>
            </w:r>
          </w:p>
        </w:tc>
      </w:tr>
      <w:tr w:rsidR="00B46561" w14:paraId="1D92C8EA" w14:textId="77777777" w:rsidTr="00A467CE">
        <w:trPr>
          <w:trHeight w:val="15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AD2D356" w14:textId="77777777" w:rsidR="00B46561" w:rsidRPr="00901316" w:rsidRDefault="00B46561" w:rsidP="00A467CE">
            <w:pPr>
              <w:pStyle w:val="Paragraphedeliste"/>
              <w:spacing w:line="276" w:lineRule="auto"/>
              <w:ind w:left="321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  <w:tc>
          <w:tcPr>
            <w:tcW w:w="426" w:type="dxa"/>
          </w:tcPr>
          <w:p w14:paraId="75024DD3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47091B5" w14:textId="77777777" w:rsidR="00B46561" w:rsidRPr="00901316" w:rsidRDefault="00B46561" w:rsidP="00A467CE">
            <w:pPr>
              <w:pStyle w:val="Paragraphedeliste"/>
              <w:spacing w:line="276" w:lineRule="auto"/>
              <w:ind w:left="323"/>
              <w:rPr>
                <w:rFonts w:eastAsia="Times New Roman"/>
                <w:sz w:val="20"/>
                <w:szCs w:val="20"/>
                <w:lang w:eastAsia="fr-CA"/>
              </w:rPr>
            </w:pPr>
          </w:p>
        </w:tc>
      </w:tr>
      <w:tr w:rsidR="00B46561" w14:paraId="04231800" w14:textId="77777777" w:rsidTr="00304840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23326BBD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>AGIR AVEC POLITESSE AU CPE, C’EST…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E403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40472354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AGIR AVEC POLITESSE AU CPE, C’EST ÉVITER…</w:t>
            </w:r>
          </w:p>
        </w:tc>
      </w:tr>
      <w:tr w:rsidR="00B46561" w14:paraId="57795265" w14:textId="77777777" w:rsidTr="00A467CE">
        <w:trPr>
          <w:trHeight w:val="66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A3E" w14:textId="77777777" w:rsidR="00B46561" w:rsidRPr="00901316" w:rsidRDefault="00B46561" w:rsidP="00B46561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sz w:val="18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Dire bonjour</w:t>
            </w:r>
          </w:p>
          <w:p w14:paraId="5EFED6BC" w14:textId="77777777" w:rsidR="00B46561" w:rsidRPr="00901316" w:rsidRDefault="00B46561" w:rsidP="00B46561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sz w:val="18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Être ponctuel</w:t>
            </w:r>
          </w:p>
          <w:p w14:paraId="7180DECF" w14:textId="77777777" w:rsidR="00B46561" w:rsidRPr="00901316" w:rsidRDefault="00B46561" w:rsidP="00B46561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sz w:val="18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Adopter un ton de communication agréable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F09658" w14:textId="77777777" w:rsidR="00B46561" w:rsidRPr="00901316" w:rsidRDefault="00B46561" w:rsidP="00A467CE">
            <w:pPr>
              <w:spacing w:line="276" w:lineRule="auto"/>
              <w:contextualSpacing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494" w14:textId="77777777" w:rsidR="00B46561" w:rsidRPr="00901316" w:rsidRDefault="00B46561" w:rsidP="00B46561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3"/>
              <w:rPr>
                <w:sz w:val="18"/>
                <w:szCs w:val="20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D’ignorer une personne qui dit bonjour</w:t>
            </w:r>
          </w:p>
          <w:p w14:paraId="09EAB04A" w14:textId="77777777" w:rsidR="00B46561" w:rsidRPr="00901316" w:rsidRDefault="00B46561" w:rsidP="00B46561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3"/>
              <w:rPr>
                <w:sz w:val="18"/>
                <w:szCs w:val="20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D’être en retard sans prévenir</w:t>
            </w:r>
          </w:p>
          <w:p w14:paraId="0B79B74A" w14:textId="77777777" w:rsidR="00B46561" w:rsidRPr="00901316" w:rsidRDefault="00B46561" w:rsidP="00B46561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3"/>
              <w:rPr>
                <w:sz w:val="18"/>
              </w:rPr>
            </w:pPr>
            <w:r w:rsidRPr="00901316">
              <w:rPr>
                <w:sz w:val="18"/>
                <w:szCs w:val="20"/>
              </w:rPr>
              <w:t>D’utiliser un langage et un ton inappropriés</w:t>
            </w:r>
          </w:p>
        </w:tc>
      </w:tr>
      <w:tr w:rsidR="00B46561" w14:paraId="50105503" w14:textId="77777777" w:rsidTr="00A467CE">
        <w:trPr>
          <w:trHeight w:val="11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45AD597" w14:textId="77777777" w:rsidR="00B46561" w:rsidRPr="00901316" w:rsidRDefault="00B46561" w:rsidP="00A467C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  <w:tc>
          <w:tcPr>
            <w:tcW w:w="426" w:type="dxa"/>
          </w:tcPr>
          <w:p w14:paraId="0BC0E716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26DF9AF" w14:textId="77777777" w:rsidR="00B46561" w:rsidRPr="00901316" w:rsidRDefault="00B46561" w:rsidP="00A467C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B46561" w14:paraId="5266308A" w14:textId="77777777" w:rsidTr="00304840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1D9A34E7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AGIR AVEC 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COURTOISIE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 AU CPE, C’EST…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EC401C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656442DE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AGIR AVEC COURTOISIE AU CPE, C’EST ÉVITER…</w:t>
            </w:r>
          </w:p>
        </w:tc>
      </w:tr>
      <w:tr w:rsidR="00B46561" w14:paraId="17DAC825" w14:textId="77777777" w:rsidTr="00A467CE">
        <w:trPr>
          <w:trHeight w:val="1166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B92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 w:rsidRPr="00901316">
              <w:rPr>
                <w:sz w:val="18"/>
              </w:rPr>
              <w:t>S’excuser ou reconnaitre ses erreurs</w:t>
            </w:r>
          </w:p>
          <w:p w14:paraId="649FD6EB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 w:rsidRPr="00901316">
              <w:rPr>
                <w:sz w:val="18"/>
              </w:rPr>
              <w:t>Remercier ses collaborateurs</w:t>
            </w:r>
          </w:p>
          <w:p w14:paraId="6304EF21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S’assurer que notre interlocuteur a bien compris notre message et reformuler au besoin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56A532" w14:textId="77777777" w:rsidR="00B46561" w:rsidRPr="00901316" w:rsidRDefault="00B46561" w:rsidP="00A467CE">
            <w:pPr>
              <w:spacing w:line="276" w:lineRule="auto"/>
              <w:contextualSpacing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1B2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De na pas se remettre en question</w:t>
            </w:r>
          </w:p>
          <w:p w14:paraId="55A6EE08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De faire des commentaires négatifs et désobligeants à l’égard de l’autre</w:t>
            </w:r>
          </w:p>
          <w:p w14:paraId="000696FB" w14:textId="77777777" w:rsidR="00B46561" w:rsidRPr="00901316" w:rsidRDefault="00B46561" w:rsidP="00B4656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De communiquer intentionnellement de mauvaises informations </w:t>
            </w:r>
          </w:p>
        </w:tc>
      </w:tr>
      <w:tr w:rsidR="00B46561" w14:paraId="65B3FF2C" w14:textId="77777777" w:rsidTr="00A467CE">
        <w:trPr>
          <w:trHeight w:val="7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F3CE652" w14:textId="77777777" w:rsidR="00B46561" w:rsidRPr="00901316" w:rsidRDefault="00B46561" w:rsidP="00A467CE">
            <w:pPr>
              <w:spacing w:line="276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1E5CA5BC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34EEBAC" w14:textId="77777777" w:rsidR="00B46561" w:rsidRPr="00901316" w:rsidRDefault="00B46561" w:rsidP="00A467C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B46561" w14:paraId="62A077B8" w14:textId="77777777" w:rsidTr="00304840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45512515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>COLLABORER AU CPE, C’EST…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087842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40FA6FD1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COLLABORER AU CPE, C’EST ÉVITER…</w:t>
            </w:r>
          </w:p>
        </w:tc>
      </w:tr>
      <w:tr w:rsidR="00B46561" w14:paraId="3BF77CB2" w14:textId="77777777" w:rsidTr="00A467CE">
        <w:trPr>
          <w:trHeight w:val="1347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308" w14:textId="77777777" w:rsidR="00B46561" w:rsidRPr="00901316" w:rsidRDefault="00B46561" w:rsidP="00B4656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Travailler en équipe dans un esprit de collaboration</w:t>
            </w:r>
          </w:p>
          <w:p w14:paraId="2DCFE70B" w14:textId="65CD679C" w:rsidR="00B46561" w:rsidRPr="00901316" w:rsidRDefault="00B46561" w:rsidP="00B4656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S’engager dans les activités communes</w:t>
            </w:r>
            <w:r w:rsidR="00C15A0F">
              <w:rPr>
                <w:rFonts w:eastAsia="Times New Roman" w:cstheme="minorHAnsi"/>
                <w:sz w:val="18"/>
                <w:szCs w:val="20"/>
                <w:lang w:eastAsia="fr-CA"/>
              </w:rPr>
              <w:t>,</w:t>
            </w: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 dans une perspective d’amélioration de la qualité éducative</w:t>
            </w:r>
          </w:p>
          <w:p w14:paraId="1BDF625F" w14:textId="77777777" w:rsidR="00B46561" w:rsidRPr="00901316" w:rsidRDefault="00B46561" w:rsidP="00B4656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21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Échanger des idées et des informations avec ses collègues et les collaborateurs 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CD9407" w14:textId="77777777" w:rsidR="00B46561" w:rsidRPr="00901316" w:rsidRDefault="00B46561" w:rsidP="00A467CE">
            <w:pPr>
              <w:spacing w:line="276" w:lineRule="auto"/>
              <w:contextualSpacing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F40" w14:textId="77777777" w:rsidR="00B46561" w:rsidRPr="00901316" w:rsidRDefault="00B46561" w:rsidP="00B46561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23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De s’exclure, de s’isoler et d’être en compétition</w:t>
            </w:r>
          </w:p>
          <w:p w14:paraId="0EB41ADF" w14:textId="77777777" w:rsidR="00B46561" w:rsidRPr="00901316" w:rsidRDefault="00B46561" w:rsidP="00B46561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23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D’avoir une attitude individualiste</w:t>
            </w:r>
          </w:p>
          <w:p w14:paraId="2E7790B7" w14:textId="77777777" w:rsidR="00B46561" w:rsidRPr="00901316" w:rsidRDefault="00B46561" w:rsidP="00B46561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23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De créer des conflits avec les collègues et les collaborateurs</w:t>
            </w:r>
          </w:p>
        </w:tc>
      </w:tr>
      <w:tr w:rsidR="00B46561" w14:paraId="7B514D71" w14:textId="77777777" w:rsidTr="00A467CE">
        <w:trPr>
          <w:trHeight w:val="7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07785B1" w14:textId="77777777" w:rsidR="00B46561" w:rsidRPr="00901316" w:rsidRDefault="00B46561" w:rsidP="00A467CE">
            <w:pPr>
              <w:pStyle w:val="Paragraphedeliste"/>
              <w:spacing w:line="276" w:lineRule="auto"/>
              <w:ind w:left="321"/>
              <w:rPr>
                <w:rFonts w:eastAsia="Times New Roman" w:cstheme="minorHAnsi"/>
                <w:sz w:val="14"/>
                <w:szCs w:val="20"/>
                <w:lang w:eastAsia="fr-CA"/>
              </w:rPr>
            </w:pPr>
          </w:p>
        </w:tc>
        <w:tc>
          <w:tcPr>
            <w:tcW w:w="426" w:type="dxa"/>
          </w:tcPr>
          <w:p w14:paraId="2450A6A7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51615DB" w14:textId="77777777" w:rsidR="00B46561" w:rsidRPr="00901316" w:rsidRDefault="00B46561" w:rsidP="00A467CE">
            <w:pPr>
              <w:pStyle w:val="Paragraphedeliste"/>
              <w:spacing w:line="276" w:lineRule="auto"/>
              <w:ind w:left="323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B46561" w14:paraId="2FFF5F02" w14:textId="77777777" w:rsidTr="00304840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7914F4EA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AGIR AVEC 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BIENVEILLANCE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 AU CPE, C’EST…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04A16E" w14:textId="77777777" w:rsidR="00B46561" w:rsidRPr="00901316" w:rsidRDefault="00B46561" w:rsidP="00A467CE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792D"/>
          </w:tcPr>
          <w:p w14:paraId="30B1CC82" w14:textId="77777777" w:rsidR="00B46561" w:rsidRPr="00901316" w:rsidRDefault="00B46561" w:rsidP="00A467CE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AGIR AVEC 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lang w:eastAsia="fr-CA"/>
              </w:rPr>
              <w:t>BIENVEILLANCE</w:t>
            </w:r>
            <w:r w:rsidRPr="00901316">
              <w:rPr>
                <w:rFonts w:eastAsia="Times New Roman" w:cstheme="minorHAnsi"/>
                <w:b/>
                <w:color w:val="FFFFFF"/>
                <w:sz w:val="20"/>
                <w:szCs w:val="20"/>
                <w:lang w:eastAsia="fr-CA"/>
              </w:rPr>
              <w:t xml:space="preserve"> AU CPE, C’EST ÉVITER…</w:t>
            </w:r>
          </w:p>
        </w:tc>
      </w:tr>
      <w:tr w:rsidR="00B46561" w14:paraId="6191C37B" w14:textId="77777777" w:rsidTr="00A467CE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A03" w14:textId="77777777" w:rsidR="00B46561" w:rsidRPr="00901316" w:rsidRDefault="00B46561" w:rsidP="00B4656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Encourager les autres à exprimer librement leurs points de vue et idées</w:t>
            </w:r>
          </w:p>
          <w:p w14:paraId="7C433091" w14:textId="77777777" w:rsidR="00B46561" w:rsidRPr="00901316" w:rsidRDefault="00B46561" w:rsidP="00B4656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Valoriser le travail ou le soutien des collaborateurs</w:t>
            </w:r>
          </w:p>
          <w:p w14:paraId="38AB3811" w14:textId="77777777" w:rsidR="00B46561" w:rsidRPr="00901316" w:rsidRDefault="00B46561" w:rsidP="00B4656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Proposer son soutien et son aide aux collègues</w:t>
            </w:r>
          </w:p>
          <w:p w14:paraId="1B92B4BA" w14:textId="77777777" w:rsidR="00B46561" w:rsidRPr="00901316" w:rsidRDefault="00B46561" w:rsidP="00B4656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Démontrer une écoute active envers les autres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2C0129" w14:textId="77777777" w:rsidR="00B46561" w:rsidRPr="00901316" w:rsidRDefault="00B46561" w:rsidP="00A467CE">
            <w:pPr>
              <w:spacing w:line="276" w:lineRule="auto"/>
              <w:contextualSpacing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793" w14:textId="77777777" w:rsidR="00B46561" w:rsidRPr="00901316" w:rsidRDefault="00B46561" w:rsidP="00B4656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De ne pas être en mesure de laisser les autres d’exprimer librement et avoir leurs opinions</w:t>
            </w:r>
          </w:p>
          <w:p w14:paraId="38D33889" w14:textId="77777777" w:rsidR="00B46561" w:rsidRPr="00901316" w:rsidRDefault="00B46561" w:rsidP="00B4656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/>
                <w:sz w:val="18"/>
                <w:szCs w:val="20"/>
                <w:lang w:eastAsia="fr-CA"/>
              </w:rPr>
              <w:t>De dénigrer le travail des autres</w:t>
            </w:r>
          </w:p>
          <w:p w14:paraId="1A2CBA36" w14:textId="77777777" w:rsidR="00B46561" w:rsidRPr="00901316" w:rsidRDefault="00B46561" w:rsidP="00B4656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>D’être indisponible pour soutenir et aider les collègues</w:t>
            </w:r>
          </w:p>
          <w:p w14:paraId="40F0664F" w14:textId="3EC776F5" w:rsidR="00B46561" w:rsidRPr="00901316" w:rsidRDefault="00C15A0F" w:rsidP="00B4656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sz w:val="18"/>
                <w:szCs w:val="20"/>
                <w:lang w:eastAsia="fr-CA"/>
              </w:rPr>
            </w:pPr>
            <w:r>
              <w:rPr>
                <w:rFonts w:eastAsia="Times New Roman" w:cstheme="minorHAnsi"/>
                <w:sz w:val="18"/>
                <w:szCs w:val="20"/>
                <w:lang w:eastAsia="fr-CA"/>
              </w:rPr>
              <w:t>D</w:t>
            </w:r>
            <w:r w:rsidR="00B46561" w:rsidRPr="00901316">
              <w:rPr>
                <w:rFonts w:eastAsia="Times New Roman" w:cstheme="minorHAnsi"/>
                <w:sz w:val="18"/>
                <w:szCs w:val="20"/>
                <w:lang w:eastAsia="fr-CA"/>
              </w:rPr>
              <w:t xml:space="preserve">e ne pas écouter l’autre </w:t>
            </w:r>
          </w:p>
        </w:tc>
      </w:tr>
    </w:tbl>
    <w:p w14:paraId="30053D45" w14:textId="0D527D8F" w:rsidR="00B46561" w:rsidRDefault="00B46561" w:rsidP="00B46561">
      <w:pPr>
        <w:spacing w:after="0" w:line="276" w:lineRule="auto"/>
        <w:ind w:left="-567" w:right="-568"/>
        <w:contextualSpacing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</w:pPr>
    </w:p>
    <w:p w14:paraId="69E48285" w14:textId="30A7887A" w:rsidR="001D4B13" w:rsidRPr="001D4B13" w:rsidRDefault="001D4B13" w:rsidP="004316EE">
      <w:pPr>
        <w:ind w:left="-567"/>
        <w:jc w:val="both"/>
        <w:rPr>
          <w:rFonts w:ascii="Calibri" w:eastAsia="Times New Roman" w:hAnsi="Calibri" w:cs="Calibri"/>
          <w:i/>
          <w:iCs/>
          <w:color w:val="000000"/>
          <w:sz w:val="6"/>
          <w:szCs w:val="6"/>
          <w:lang w:eastAsia="fr-CA"/>
        </w:rPr>
      </w:pPr>
      <w:r w:rsidRPr="00C115FA">
        <w:rPr>
          <w:noProof/>
          <w:sz w:val="16"/>
          <w:szCs w:val="16"/>
          <w:lang w:eastAsia="fr-CA"/>
        </w:rPr>
        <w:drawing>
          <wp:anchor distT="0" distB="0" distL="114300" distR="114300" simplePos="0" relativeHeight="251659264" behindDoc="0" locked="0" layoutInCell="1" allowOverlap="1" wp14:anchorId="6D1FEC29" wp14:editId="16B0A2E6">
            <wp:simplePos x="0" y="0"/>
            <wp:positionH relativeFrom="rightMargin">
              <wp:posOffset>-422910</wp:posOffset>
            </wp:positionH>
            <wp:positionV relativeFrom="paragraph">
              <wp:posOffset>102870</wp:posOffset>
            </wp:positionV>
            <wp:extent cx="1003300" cy="501650"/>
            <wp:effectExtent l="0" t="0" r="6350" b="0"/>
            <wp:wrapTight wrapText="bothSides">
              <wp:wrapPolygon edited="0">
                <wp:start x="0" y="0"/>
                <wp:lineTo x="0" y="20506"/>
                <wp:lineTo x="21327" y="20506"/>
                <wp:lineTo x="21327" y="0"/>
                <wp:lineTo x="0" y="0"/>
              </wp:wrapPolygon>
            </wp:wrapTight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CEDA0" w14:textId="72FCDE2E" w:rsidR="00C115FA" w:rsidRDefault="00B46561" w:rsidP="004316EE">
      <w:pPr>
        <w:ind w:left="-567"/>
        <w:jc w:val="both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</w:pPr>
      <w:r w:rsidRPr="00C115FA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  <w:t>Il est à noter que ce modèle de Code de civilité en milieu de travail est soumis à titre informatif seulement. Il doit être adapté, modifié et personnalisé pour représenter les besoins particuliers de chaque organisation et les valeurs du milieu.</w:t>
      </w:r>
      <w:r w:rsidR="00C115FA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  <w:t xml:space="preserve"> </w:t>
      </w:r>
      <w:r w:rsidR="00C115FA" w:rsidRPr="00C115FA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  <w:t>Inspiré du modèle de conduite de l’Ordre des conseillers en ressources humaines agréés (CRHA)</w:t>
      </w:r>
      <w:r w:rsidR="004316EE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  <w:t>.</w:t>
      </w:r>
    </w:p>
    <w:p w14:paraId="6E6DA138" w14:textId="77777777" w:rsidR="004316EE" w:rsidRPr="00C115FA" w:rsidRDefault="004316EE" w:rsidP="004316EE">
      <w:pPr>
        <w:ind w:left="-567"/>
        <w:jc w:val="both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fr-CA"/>
        </w:rPr>
      </w:pPr>
    </w:p>
    <w:sectPr w:rsidR="004316EE" w:rsidRPr="00C115FA" w:rsidSect="00BA50A4">
      <w:footerReference w:type="default" r:id="rId8"/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5F32" w14:textId="77777777" w:rsidR="00BB7EDA" w:rsidRDefault="00BB7EDA" w:rsidP="00C115FA">
      <w:pPr>
        <w:spacing w:after="0" w:line="240" w:lineRule="auto"/>
      </w:pPr>
      <w:r>
        <w:separator/>
      </w:r>
    </w:p>
  </w:endnote>
  <w:endnote w:type="continuationSeparator" w:id="0">
    <w:p w14:paraId="4F6FB27D" w14:textId="77777777" w:rsidR="00BB7EDA" w:rsidRDefault="00BB7EDA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B066" w14:textId="42C2ABCF" w:rsidR="00C115FA" w:rsidRPr="001D4B13" w:rsidRDefault="004316EE" w:rsidP="001D4B13">
    <w:pPr>
      <w:tabs>
        <w:tab w:val="left" w:pos="1740"/>
      </w:tabs>
      <w:rPr>
        <w:sz w:val="16"/>
        <w:szCs w:val="16"/>
      </w:rPr>
    </w:pPr>
    <w:bookmarkStart w:id="1" w:name="_Hlk96332525"/>
    <w:r w:rsidRPr="00C115FA">
      <w:rPr>
        <w:rFonts w:ascii="Times New Roman" w:hAnsi="Times New Roman" w:cs="Times New Roman"/>
        <w:noProof/>
        <w:sz w:val="16"/>
        <w:szCs w:val="16"/>
        <w:lang w:eastAsia="fr-CA"/>
      </w:rPr>
      <w:drawing>
        <wp:anchor distT="0" distB="0" distL="114300" distR="114300" simplePos="0" relativeHeight="251659264" behindDoc="0" locked="0" layoutInCell="1" allowOverlap="1" wp14:anchorId="43994333" wp14:editId="5C8A8582">
          <wp:simplePos x="0" y="0"/>
          <wp:positionH relativeFrom="margin">
            <wp:posOffset>-94615</wp:posOffset>
          </wp:positionH>
          <wp:positionV relativeFrom="paragraph">
            <wp:posOffset>-54610</wp:posOffset>
          </wp:positionV>
          <wp:extent cx="668020" cy="382270"/>
          <wp:effectExtent l="0" t="0" r="0" b="0"/>
          <wp:wrapTight wrapText="bothSides">
            <wp:wrapPolygon edited="0">
              <wp:start x="3080" y="3229"/>
              <wp:lineTo x="2464" y="7535"/>
              <wp:lineTo x="2464" y="17223"/>
              <wp:lineTo x="17247" y="17223"/>
              <wp:lineTo x="19095" y="3229"/>
              <wp:lineTo x="3080" y="3229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5FA" w:rsidRPr="00C115FA">
      <w:rPr>
        <w:rFonts w:ascii="Arial" w:hAnsi="Arial" w:cs="Arial"/>
        <w:color w:val="000000"/>
        <w:sz w:val="16"/>
        <w:szCs w:val="16"/>
      </w:rPr>
      <w:t xml:space="preserve">Ce projet est réalisé grâce au soutien financier de la CNESST par son </w:t>
    </w:r>
    <w:hyperlink r:id="rId2" w:history="1">
      <w:r w:rsidR="00C115FA" w:rsidRPr="00C115FA">
        <w:rPr>
          <w:rStyle w:val="Lienhypertexte"/>
          <w:rFonts w:ascii="Arial" w:hAnsi="Arial" w:cs="Arial"/>
          <w:sz w:val="16"/>
          <w:szCs w:val="16"/>
        </w:rPr>
        <w:t>Programme visant la lutte contre le harcèlement psychologique ou sexuel dans les milieux de travail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DCDD" w14:textId="77777777" w:rsidR="00BB7EDA" w:rsidRDefault="00BB7EDA" w:rsidP="00C115FA">
      <w:pPr>
        <w:spacing w:after="0" w:line="240" w:lineRule="auto"/>
      </w:pPr>
      <w:r>
        <w:separator/>
      </w:r>
    </w:p>
  </w:footnote>
  <w:footnote w:type="continuationSeparator" w:id="0">
    <w:p w14:paraId="5A21FC29" w14:textId="77777777" w:rsidR="00BB7EDA" w:rsidRDefault="00BB7EDA" w:rsidP="00C1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8D6"/>
    <w:multiLevelType w:val="hybridMultilevel"/>
    <w:tmpl w:val="52923E5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D9C"/>
    <w:multiLevelType w:val="hybridMultilevel"/>
    <w:tmpl w:val="96220738"/>
    <w:lvl w:ilvl="0" w:tplc="437099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0BD"/>
    <w:multiLevelType w:val="hybridMultilevel"/>
    <w:tmpl w:val="149E3218"/>
    <w:lvl w:ilvl="0" w:tplc="14D0A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54A"/>
    <w:multiLevelType w:val="hybridMultilevel"/>
    <w:tmpl w:val="23D2865E"/>
    <w:lvl w:ilvl="0" w:tplc="0C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AD0FA3"/>
    <w:multiLevelType w:val="hybridMultilevel"/>
    <w:tmpl w:val="6B76FA58"/>
    <w:lvl w:ilvl="0" w:tplc="868E7B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2F01"/>
    <w:multiLevelType w:val="hybridMultilevel"/>
    <w:tmpl w:val="A3CA0868"/>
    <w:lvl w:ilvl="0" w:tplc="EB62D3F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5C51E85"/>
    <w:multiLevelType w:val="hybridMultilevel"/>
    <w:tmpl w:val="C69CEBA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A723A"/>
    <w:multiLevelType w:val="hybridMultilevel"/>
    <w:tmpl w:val="4EE8A5F2"/>
    <w:lvl w:ilvl="0" w:tplc="E81612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CC1765"/>
    <w:multiLevelType w:val="hybridMultilevel"/>
    <w:tmpl w:val="5DCE3656"/>
    <w:lvl w:ilvl="0" w:tplc="0868BF9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61"/>
    <w:rsid w:val="001D4B13"/>
    <w:rsid w:val="002E12C5"/>
    <w:rsid w:val="00304840"/>
    <w:rsid w:val="004316EE"/>
    <w:rsid w:val="00550893"/>
    <w:rsid w:val="006A38E6"/>
    <w:rsid w:val="00B46561"/>
    <w:rsid w:val="00B804B4"/>
    <w:rsid w:val="00BA50A4"/>
    <w:rsid w:val="00BB7EDA"/>
    <w:rsid w:val="00C115FA"/>
    <w:rsid w:val="00C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097F"/>
  <w15:chartTrackingRefBased/>
  <w15:docId w15:val="{61910D41-0A4E-4A24-BF8A-E78F70C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61"/>
  </w:style>
  <w:style w:type="paragraph" w:styleId="Titre1">
    <w:name w:val="heading 1"/>
    <w:basedOn w:val="Normal"/>
    <w:next w:val="Normal"/>
    <w:link w:val="Titre1Car"/>
    <w:uiPriority w:val="9"/>
    <w:qFormat/>
    <w:rsid w:val="00B46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6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4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656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65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65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656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56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115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11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5FA"/>
  </w:style>
  <w:style w:type="paragraph" w:styleId="Pieddepage">
    <w:name w:val="footer"/>
    <w:basedOn w:val="Normal"/>
    <w:link w:val="PieddepageCar"/>
    <w:uiPriority w:val="99"/>
    <w:unhideWhenUsed/>
    <w:rsid w:val="00C11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nesst.gouv.qc.ca/lutte-contre-le-harcelemen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Dessalles</dc:creator>
  <cp:keywords/>
  <dc:description/>
  <cp:lastModifiedBy>Julia Dessalles</cp:lastModifiedBy>
  <cp:revision>2</cp:revision>
  <dcterms:created xsi:type="dcterms:W3CDTF">2022-02-21T15:50:00Z</dcterms:created>
  <dcterms:modified xsi:type="dcterms:W3CDTF">2022-02-21T15:50:00Z</dcterms:modified>
</cp:coreProperties>
</file>